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r>
        <w:t xml:space="preserve">FILE NOTE</w:t>
      </w:r>
    </w:p>
    <w:p>
      <w:pPr>
        <w:pStyle w:val="FirstParagraph"/>
      </w:pPr>
      <w:r>
        <w:rPr>
          <w:b/>
        </w:rPr>
        <w:t xml:space="preserve">Adviser: </w:t>
      </w:r>
      <w:r>
        <w:t xml:space="preserve">Illustrative example</w:t>
      </w:r>
      <w:r>
        <w:br/>
      </w:r>
      <w:r>
        <w:rPr>
          <w:b/>
        </w:rPr>
        <w:t xml:space="preserve">Date: </w:t>
      </w:r>
      <w:r>
        <w:t xml:space="preserve">22 October 2026</w:t>
      </w:r>
      <w:r>
        <w:br/>
      </w:r>
      <w:r>
        <w:rPr>
          <w:b/>
        </w:rPr>
        <w:t xml:space="preserve">Client: </w:t>
      </w:r>
      <w:r>
        <w:t xml:space="preserve">Illustrative client</w:t>
      </w:r>
      <w:r>
        <w:br/>
      </w:r>
      <w:r>
        <w:rPr>
          <w:b/>
        </w:rPr>
        <w:t xml:space="preserve">File No: </w:t>
      </w:r>
      <w:r>
        <w:t xml:space="preserve">DEMO-CGT-01</w:t>
      </w:r>
    </w:p>
    <w:p>
      <w:r>
        <w:pict>
          <v:rect style="width:0;height:1.5pt" o:hralign="center" o:hrstd="t" o:hr="t"/>
        </w:pict>
      </w:r>
    </w:p>
    <w:p>
      <w:pPr>
        <w:pStyle w:val="Heading1"/>
      </w:pPr>
      <w:r>
        <w:t xml:space="preserve">Business Sale CGT Research</w:t>
      </w:r>
    </w:p>
    <w:p>
      <w:pPr>
        <w:pStyle w:val="Heading2"/>
      </w:pPr>
      <w:r>
        <w:t xml:space="preserve">Matter Summary</w:t>
      </w:r>
    </w:p>
    <w:p>
      <w:pPr>
        <w:pStyle w:val="FirstParagraph"/>
      </w:pPr>
      <w:r>
        <w:t xml:space="preserve">Record the research questions and evidence needed for the client's proposed business sale and post-sale consulting arrangement.</w:t>
      </w:r>
    </w:p>
    <w:p>
      <w:pPr>
        <w:pStyle w:val="Heading2"/>
      </w:pPr>
      <w:r>
        <w:t xml:space="preserve">Relevant Facts</w:t>
      </w:r>
    </w:p>
    <w:p>
      <w:pPr>
        <w:pStyle w:val="FirstParagraph"/>
      </w:pPr>
      <w:r>
        <w:t xml:space="preserve">The client is 58 and operates as a sole trader. The business has operated for 18 years. The client proposes to consult one day a week after the sale.</w:t>
      </w:r>
    </w:p>
    <w:p>
      <w:pPr>
        <w:pStyle w:val="Heading2"/>
      </w:pPr>
      <w:r>
        <w:t xml:space="preserve">Assumptions</w:t>
      </w:r>
    </w:p>
    <w:p>
      <w:pPr>
        <w:pStyle w:val="FirstParagraph"/>
      </w:pPr>
      <w:r>
        <w:t xml:space="preserve">Business duration is not treated as proof of continuous ownership of the particular CGT asset. The asset acquisition date remains to be confirmed.</w:t>
      </w:r>
    </w:p>
    <w:p>
      <w:pPr>
        <w:pStyle w:val="Heading2"/>
      </w:pPr>
      <w:r>
        <w:t xml:space="preserve">Issue Considered</w:t>
      </w:r>
    </w:p>
    <w:p>
      <w:pPr>
        <w:pStyle w:val="FirstParagraph"/>
      </w:pPr>
      <w:r>
        <w:t xml:space="preserve">What needs investigating before assessing the Division 152 basic conditions and the 15-year exemption, including the retirement connection?</w:t>
      </w:r>
    </w:p>
    <w:p>
      <w:pPr>
        <w:pStyle w:val="Heading2"/>
      </w:pPr>
      <w:r>
        <w:t xml:space="preserve">Position Taken</w:t>
      </w:r>
    </w:p>
    <w:p>
      <w:pPr>
        <w:pStyle w:val="FirstParagraph"/>
      </w:pPr>
      <w:r>
        <w:t xml:space="preserve">The research position remains open pending the asset records and consulting terms. No eligibility conclusion is recorded.</w:t>
      </w:r>
    </w:p>
    <w:p>
      <w:pPr>
        <w:pStyle w:val="Heading2"/>
      </w:pPr>
      <w:r>
        <w:t xml:space="preserve">Basis for Position</w:t>
      </w:r>
    </w:p>
    <w:p>
      <w:pPr>
        <w:pStyle w:val="FirstParagraph"/>
      </w:pPr>
      <w:r>
        <w:t xml:space="preserve">Section 152-105 contains multiple conditions. The source reviewed is Compilation 268 of the Income Tax Assessment Act 1997, dated 1 October 2026.</w:t>
      </w:r>
    </w:p>
    <w:p>
      <w:pPr>
        <w:pStyle w:val="Heading2"/>
      </w:pPr>
      <w:r>
        <w:t xml:space="preserve">Risks and Caveats</w:t>
      </w:r>
    </w:p>
    <w:p>
      <w:pPr>
        <w:pStyle w:val="FirstParagraph"/>
      </w:pPr>
      <w:r>
        <w:t xml:space="preserve">Ownership continuity, active use, transaction dates and consulting terms remain unconfirmed. Related entities and changes in business structure also need investigation.</w:t>
      </w:r>
    </w:p>
    <w:p>
      <w:pPr>
        <w:pStyle w:val="Heading2"/>
      </w:pPr>
      <w:r>
        <w:t xml:space="preserve">Action Items</w:t>
      </w:r>
    </w:p>
    <w:p>
      <w:pPr>
        <w:pStyle w:val="Compact"/>
        <w:numPr>
          <w:ilvl w:val="0"/>
          <w:numId w:val="1003"/>
        </w:numPr>
        <w:keepNext/>
      </w:pPr>
      <w:r>
        <w:t xml:space="preserve">Obtain the sale contract and goodwill acquisition records.</w:t>
      </w:r>
    </w:p>
    <w:p>
      <w:pPr>
        <w:pStyle w:val="Compact"/>
        <w:numPr>
          <w:ilvl w:val="0"/>
          <w:numId w:val="1003"/>
        </w:numPr>
        <w:keepNext/>
      </w:pPr>
      <w:r>
        <w:t xml:space="preserve">Confirm the seller, asset-use history and CGT event dates.</w:t>
      </w:r>
    </w:p>
    <w:p>
      <w:pPr>
        <w:pStyle w:val="Compact"/>
        <w:numPr>
          <w:ilvl w:val="0"/>
          <w:numId w:val="1003"/>
        </w:numPr>
        <w:keepNext/>
      </w:pPr>
      <w:r>
        <w:t xml:space="preserve">Review current hours and the proposed consulting agreement.</w:t>
      </w:r>
    </w:p>
    <w:p>
      <w:pPr>
        <w:pStyle w:val="Compact"/>
        <w:numPr>
          <w:ilvl w:val="0"/>
          <w:numId w:val="1003"/>
        </w:numPr>
      </w:pPr>
      <w:r>
        <w:t xml:space="preserve">Research the Division 152 basic conditions and record outstanding checks.</w:t>
      </w:r>
    </w:p>
    <w:p>
      <w:pPr>
        <w:pStyle w:val="Heading2"/>
      </w:pPr>
      <w:r>
        <w:t xml:space="preserve">Authorities Cited</w:t>
      </w:r>
    </w:p>
    <w:p>
      <w:pPr>
        <w:pStyle w:val="FirstParagraph"/>
      </w:pPr>
      <w:r>
        <w:t xml:space="preserve">Income Tax Assessment Act 1997 (Cth), section 152-105, Compilation 268. Further research is required before settling the client's tax position.</w:t>
      </w:r>
    </w:p>
    <w:p>
      <w:r>
        <w:pict>
          <v:rect style="width:0;height:1.5pt" o:hralign="center" o:hrstd="t" o:hr="t"/>
        </w:pict>
      </w:r>
    </w:p>
    <w:p>
      <w:pPr>
        <w:pStyle w:val="BodyText"/>
        <w:keepNext w:val="0"/>
        <w:keepLines/>
        <w:pageBreakBefore w:val="0"/>
        <w:widowControl/>
        <w:spacing w:before="120" w:after="0" w:line="240" w:lineRule="auto"/>
      </w:pPr>
      <w:r>
        <w:rPr>
          <w:rFonts w:ascii="Arial" w:hAnsi="Arial"/>
          <w:i/>
          <w:iCs/>
          <w:sz w:val="20"/>
        </w:rPr>
        <w:t xml:space="preserve">This document is an AI-generated draft prepared by Lawg based on the information provided and the sources available to the system at the time of generation. It is intended for review and refinement by a qualified professional before being relied upon or provided to any client or third party. It may not address all facts, assumptions, authorities, or risks relevant to the matter. Lawg does not accept liability for any loss arising from reliance on this draft without appropriate professional review.</w:t>
      </w:r>
    </w:p>
    <w:sectPr w:rsidR="00FC693F" w:rsidRPr="0006063C" w:rsidSect="00034616">
      <w:headerReference r:id="rId9" w:type="default"/>
      <w:footerReference r:id="rId10" w:type="default"/>
      <w:pgSz w:h="16838" w:w="11906"/>
      <w:pgMar w:bottom="1152" w:footer="720" w:gutter="0" w:header="720" w:left="1296" w:right="1296" w:top="144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3104"/>
      <w:gridCol w:w="3104"/>
      <w:gridCol w:w="3104"/>
    </w:tblGrid>
    <w:tr>
      <w:tc>
        <w:tcPr>
          <w:tcW w:type="dxa" w:w="3104"/>
          <w:tcBorders>
            <w:top w:val="single" w:sz="4" w:space="1" w:color="D1D5DB"/>
          </w:tcBorders>
        </w:tcPr>
        <w:p>
          <w:pPr>
            <w:jc w:val="left"/>
          </w:pPr>
          <w:r>
            <w:rPr>
              <w:rFonts w:ascii="Arial" w:hAnsi="Arial"/>
              <w:smallCaps/>
              <w:color w:val="6B7280"/>
              <w:sz w:val="16"/>
            </w:rPr>
            <w:t>Illustrative example</w:t>
          </w:r>
        </w:p>
      </w:tc>
      <w:tc>
        <w:tcPr>
          <w:tcW w:type="dxa" w:w="3104"/>
          <w:tcBorders>
            <w:top w:val="single" w:sz="4" w:space="1" w:color="D1D5DB"/>
          </w:tcBorders>
        </w:tcPr>
        <w:p>
          <w:pPr>
            <w:jc w:val="center"/>
          </w:pPr>
          <w:r>
            <w:rPr>
              <w:rFonts w:ascii="Arial" w:hAnsi="Arial"/>
              <w:color w:val="6B7280"/>
              <w:sz w:val="16"/>
            </w:rPr>
            <w:t>© Lawg</w:t>
          </w:r>
        </w:p>
      </w:tc>
      <w:tc>
        <w:tcPr>
          <w:tcW w:type="dxa" w:w="3104"/>
          <w:tcBorders>
            <w:top w:val="single" w:sz="4" w:space="1" w:color="D1D5DB"/>
          </w:tcBorders>
        </w:tcPr>
        <w:p>
          <w:pPr>
            <w:jc w:val="right"/>
          </w:pPr>
          <w:r>
            <w:rPr>
              <w:rFonts w:ascii="Arial" w:hAnsi="Arial"/>
              <w:color w:val="6B7280"/>
              <w:sz w:val="16"/>
            </w:rPr>
            <w:t xml:space="preserve">Page </w:t>
          </w:r>
          <w:r>
            <w:fldChar w:fldCharType="begin"/>
          </w:r>
          <w:r>
            <w:instrText xml:space="preserve"> PAGE </w:instrText>
          </w:r>
          <w:r>
            <w:fldChar w:fldCharType="end"/>
          </w:r>
          <w:r>
            <w:rPr>
              <w:rFonts w:ascii="Arial" w:hAnsi="Arial"/>
              <w:color w:val="6B7280"/>
              <w:sz w:val="16"/>
            </w:rPr>
            <w:t xml:space="preserve"> of </w:t>
          </w:r>
          <w:r>
            <w:fldChar w:fldCharType="begin"/>
          </w:r>
          <w:r>
            <w:instrText xml:space="preserve"> NUMPAGES </w:instrText>
          </w:r>
          <w:r>
            <w:fldChar w:fldCharType="end"/>
          </w:r>
        </w:p>
      </w:tc>
    </w:tr>
  </w:tbl>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9313"/>
    </w:tblGrid>
    <w:tr>
      <w:tc>
        <w:tcPr>
          <w:tcW w:type="dxa" w:w="9313"/>
        </w:tcPr>
        <w:p>
          <w:pPr>
            <w:spacing w:before="0" w:after="0"/>
            <w:jc w:val="right"/>
          </w:pPr>
          <w:r>
            <w:drawing>
              <wp:inline xmlns:a="http://schemas.openxmlformats.org/drawingml/2006/main" xmlns:pic="http://schemas.openxmlformats.org/drawingml/2006/picture">
                <wp:extent cx="720000" cy="720000"/>
                <wp:docPr id="1" name="Picture 1"/>
                <wp:cNvGraphicFramePr>
                  <a:graphicFrameLocks noChangeAspect="1"/>
                </wp:cNvGraphicFramePr>
                <a:graphic>
                  <a:graphicData uri="http://schemas.openxmlformats.org/drawingml/2006/picture">
                    <pic:pic>
                      <pic:nvPicPr>
                        <pic:cNvPr id="0" name="lawg_logo.png"/>
                        <pic:cNvPicPr/>
                      </pic:nvPicPr>
                      <pic:blipFill>
                        <a:blip r:embed="rId1"/>
                        <a:stretch>
                          <a:fillRect/>
                        </a:stretch>
                      </pic:blipFill>
                      <pic:spPr>
                        <a:xfrm>
                          <a:off x="0" y="0"/>
                          <a:ext cx="720000" cy="720000"/>
                        </a:xfrm>
                        <a:prstGeom prst="rect"/>
                      </pic:spPr>
                    </pic:pic>
                  </a:graphicData>
                </a:graphic>
              </wp:inline>
            </w:drawing>
          </w:r>
        </w:p>
      </w:tc>
    </w:tr>
  </w:tbl>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multiLevelType w:val="hybridMultilevel"/>
    <w:lvl w:ilvl="0">
      <w:start w:val="1"/>
      <w:numFmt w:val="bullet"/>
      <w:lvlText w:val="•"/>
      <w:lvlJc w:val="left"/>
      <w:pPr>
        <w:ind w:hanging="360" w:left="720"/>
      </w:pPr>
      <w:rPr>
        <w:rFonts w:ascii="Symbol" w:hAnsi="Symbol" w:hint="default"/>
      </w:rPr>
    </w:lvl>
    <w:lvl w:ilvl="1">
      <w:start w:val="1"/>
      <w:numFmt w:val="bullet"/>
      <w:lvlText w:val="•"/>
      <w:lvlJc w:val="left"/>
      <w:pPr>
        <w:ind w:hanging="360" w:left="1080"/>
      </w:pPr>
      <w:rPr>
        <w:rFonts w:ascii="Symbol" w:hAnsi="Symbol" w:hint="default"/>
      </w:rPr>
    </w:lvl>
    <w:lvl w:ilvl="2">
      <w:start w:val="1"/>
      <w:numFmt w:val="bullet"/>
      <w:lvlText w:val="•"/>
      <w:lvlJc w:val="left"/>
      <w:pPr>
        <w:ind w:hanging="360" w:left="1440"/>
      </w:pPr>
      <w:rPr>
        <w:rFonts w:ascii="Symbol" w:hAnsi="Symbol" w:hint="default"/>
      </w:rPr>
    </w:lvl>
    <w:lvl w:ilvl="3">
      <w:start w:val="1"/>
      <w:numFmt w:val="bullet"/>
      <w:lvlText w:val="•"/>
      <w:lvlJc w:val="left"/>
      <w:pPr>
        <w:ind w:hanging="360" w:left="1800"/>
      </w:pPr>
      <w:rPr>
        <w:rFonts w:ascii="Symbol" w:hAnsi="Symbol" w:hint="default"/>
      </w:rPr>
    </w:lvl>
    <w:lvl w:ilvl="4">
      <w:start w:val="1"/>
      <w:numFmt w:val="bullet"/>
      <w:lvlText w:val="•"/>
      <w:lvlJc w:val="left"/>
      <w:pPr>
        <w:ind w:hanging="360" w:left="2160"/>
      </w:pPr>
      <w:rPr>
        <w:rFonts w:ascii="Symbol" w:hAnsi="Symbol" w:hint="default"/>
      </w:rPr>
    </w:lvl>
    <w:lvl w:ilvl="5">
      <w:start w:val="1"/>
      <w:numFmt w:val="bullet"/>
      <w:lvlText w:val="•"/>
      <w:lvlJc w:val="left"/>
      <w:pPr>
        <w:ind w:hanging="360" w:left="2520"/>
      </w:pPr>
      <w:rPr>
        <w:rFonts w:ascii="Symbol" w:hAnsi="Symbol" w:hint="default"/>
      </w:rPr>
    </w:lvl>
    <w:lvl w:ilvl="6">
      <w:start w:val="1"/>
      <w:numFmt w:val="bullet"/>
      <w:lvlText w:val="•"/>
      <w:lvlJc w:val="left"/>
      <w:pPr>
        <w:ind w:hanging="360" w:left="2880"/>
      </w:pPr>
      <w:rPr>
        <w:rFonts w:ascii="Symbol" w:hAnsi="Symbol" w:hint="default"/>
      </w:rPr>
    </w:lvl>
    <w:lvl w:ilvl="7">
      <w:start w:val="1"/>
      <w:numFmt w:val="bullet"/>
      <w:lvlText w:val="•"/>
      <w:lvlJc w:val="left"/>
      <w:pPr>
        <w:ind w:hanging="360" w:left="3240"/>
      </w:pPr>
      <w:rPr>
        <w:rFonts w:ascii="Symbol" w:hAnsi="Symbol" w:hint="default"/>
      </w:rPr>
    </w:lvl>
    <w:lvl w:ilvl="8">
      <w:start w:val="1"/>
      <w:numFmt w:val="bullet"/>
      <w:lvlText w:val="•"/>
      <w:lvlJc w:val="left"/>
      <w:pPr>
        <w:ind w:hanging="360" w:left="3600"/>
      </w:pPr>
      <w:rPr>
        <w:rFonts w:ascii="Symbol" w:hAnsi="Symbol" w:hint="default"/>
      </w:rPr>
    </w:lvl>
  </w:abstractNum>
  <w:abstractNum w:abstractNumId="1">
    <w:multiLevelType w:val="hybridMultilevel"/>
    <w:lvl w:ilvl="0">
      <w:start w:val="1"/>
      <w:numFmt w:val="decimal"/>
      <w:lvlText w:val="%1."/>
      <w:lvlJc w:val="left"/>
      <w:pPr>
        <w:ind w:hanging="360" w:left="720"/>
      </w:pPr>
    </w:lvl>
    <w:lvl w:ilvl="1">
      <w:start w:val="1"/>
      <w:numFmt w:val="decimal"/>
      <w:lvlText w:val="%2."/>
      <w:lvlJc w:val="left"/>
      <w:pPr>
        <w:ind w:hanging="360" w:left="1080"/>
      </w:pPr>
    </w:lvl>
    <w:lvl w:ilvl="2">
      <w:start w:val="1"/>
      <w:numFmt w:val="decimal"/>
      <w:lvlText w:val="%3."/>
      <w:lvlJc w:val="left"/>
      <w:pPr>
        <w:ind w:hanging="360" w:left="1440"/>
      </w:pPr>
    </w:lvl>
    <w:lvl w:ilvl="3">
      <w:start w:val="1"/>
      <w:numFmt w:val="decimal"/>
      <w:lvlText w:val="%4."/>
      <w:lvlJc w:val="left"/>
      <w:pPr>
        <w:ind w:hanging="360" w:left="1800"/>
      </w:pPr>
    </w:lvl>
    <w:lvl w:ilvl="4">
      <w:start w:val="1"/>
      <w:numFmt w:val="decimal"/>
      <w:lvlText w:val="%5."/>
      <w:lvlJc w:val="left"/>
      <w:pPr>
        <w:ind w:hanging="360" w:left="2160"/>
      </w:pPr>
    </w:lvl>
    <w:lvl w:ilvl="5">
      <w:start w:val="1"/>
      <w:numFmt w:val="decimal"/>
      <w:lvlText w:val="%6."/>
      <w:lvlJc w:val="left"/>
      <w:pPr>
        <w:ind w:hanging="360" w:left="2520"/>
      </w:pPr>
    </w:lvl>
    <w:lvl w:ilvl="6">
      <w:start w:val="1"/>
      <w:numFmt w:val="decimal"/>
      <w:lvlText w:val="%7."/>
      <w:lvlJc w:val="left"/>
      <w:pPr>
        <w:ind w:hanging="360" w:left="2880"/>
      </w:pPr>
    </w:lvl>
    <w:lvl w:ilvl="7">
      <w:start w:val="1"/>
      <w:numFmt w:val="decimal"/>
      <w:lvlText w:val="%8."/>
      <w:lvlJc w:val="left"/>
      <w:pPr>
        <w:ind w:hanging="360" w:left="3240"/>
      </w:pPr>
    </w:lvl>
    <w:lvl w:ilvl="8">
      <w:start w:val="1"/>
      <w:numFmt w:val="decimal"/>
      <w:lvlText w:val="%9."/>
      <w:lvlJc w:val="left"/>
      <w:pPr>
        <w:ind w:hanging="360" w:left="360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 w:numId="2">
    <w:abstractNumId w:val="1"/>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20" w:before="0" w:line="276" w:lineRule="auto"/>
    </w:pPr>
    <w:rPr>
      <w:rFonts w:ascii="Arial" w:hAnsi="Arial"/>
      <w:color w:val="1A1A1A"/>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120" w:before="360" w:line="276" w:lineRule="auto"/>
      <w:outlineLvl w:val="0"/>
    </w:pPr>
    <w:rPr>
      <w:rFonts w:ascii="Arial" w:asciiTheme="majorHAnsi" w:cstheme="majorBidi" w:eastAsiaTheme="majorEastAsia" w:hAnsi="Arial" w:hAnsiTheme="majorHAnsi"/>
      <w:b/>
      <w:bCs/>
      <w:color w:val="1A1A1A"/>
      <w:sz w:val="30"/>
      <w:szCs w:val="28"/>
    </w:rPr>
  </w:style>
  <w:style w:styleId="Heading2" w:type="paragraph">
    <w:name w:val="heading 2"/>
    <w:basedOn w:val="Normal"/>
    <w:next w:val="Normal"/>
    <w:link w:val="Heading2Char"/>
    <w:uiPriority w:val="9"/>
    <w:unhideWhenUsed/>
    <w:qFormat/>
    <w:rsid w:val="00FC693F"/>
    <w:pPr>
      <w:keepNext/>
      <w:keepLines/>
      <w:spacing w:after="80" w:before="240" w:line="276" w:lineRule="auto"/>
      <w:outlineLvl w:val="1"/>
    </w:pPr>
    <w:rPr>
      <w:rFonts w:ascii="Arial" w:asciiTheme="majorHAnsi" w:cstheme="majorBidi" w:eastAsiaTheme="majorEastAsia" w:hAnsi="Arial" w:hAnsiTheme="majorHAnsi"/>
      <w:b/>
      <w:bCs/>
      <w:color w:val="1A1A1A"/>
      <w:sz w:val="24"/>
      <w:szCs w:val="26"/>
    </w:rPr>
  </w:style>
  <w:style w:styleId="Heading3" w:type="paragraph">
    <w:name w:val="heading 3"/>
    <w:basedOn w:val="Normal"/>
    <w:next w:val="Normal"/>
    <w:link w:val="Heading3Char"/>
    <w:uiPriority w:val="9"/>
    <w:unhideWhenUsed/>
    <w:qFormat/>
    <w:rsid w:val="00FC693F"/>
    <w:pPr>
      <w:keepNext/>
      <w:keepLines/>
      <w:spacing w:after="80" w:before="200" w:line="276" w:lineRule="auto"/>
      <w:outlineLvl w:val="2"/>
    </w:pPr>
    <w:rPr>
      <w:rFonts w:ascii="Arial" w:asciiTheme="majorHAnsi" w:cstheme="majorBidi" w:eastAsiaTheme="majorEastAsia" w:hAnsi="Arial" w:hAnsiTheme="majorHAnsi"/>
      <w:b/>
      <w:bCs/>
      <w:color w:val="1A1A1A"/>
      <w:sz w:val="22"/>
    </w:rPr>
  </w:style>
  <w:style w:styleId="Heading4" w:type="paragraph">
    <w:name w:val="heading 4"/>
    <w:basedOn w:val="Normal"/>
    <w:next w:val="Normal"/>
    <w:link w:val="Heading4Char"/>
    <w:uiPriority w:val="9"/>
    <w:semiHidden/>
    <w:unhideWhenUsed/>
    <w:qFormat/>
    <w:rsid w:val="00FC693F"/>
    <w:pPr>
      <w:keepNext/>
      <w:keepLines/>
      <w:spacing w:after="80" w:before="160" w:line="276" w:lineRule="auto"/>
      <w:outlineLvl w:val="3"/>
    </w:pPr>
    <w:rPr>
      <w:rFonts w:ascii="Arial" w:asciiTheme="majorHAnsi" w:cstheme="majorBidi" w:eastAsiaTheme="majorEastAsia" w:hAnsi="Arial" w:hAnsiTheme="majorHAnsi"/>
      <w:b/>
      <w:bCs/>
      <w:i/>
      <w:iCs/>
      <w:color w:val="1A1A1A"/>
      <w:sz w:val="22"/>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spacing w:after="80" w:line="276" w:lineRule="auto"/>
      <w:ind w:left="720"/>
      <w:contextualSpacing/>
    </w:pPr>
    <w:rPr>
      <w:rFonts w:ascii="Arial" w:hAnsi="Arial"/>
      <w:color w:val="1A1A1A"/>
      <w:sz w:val="22"/>
    </w:r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8" Type="http://schemas.openxmlformats.org/officeDocument/2006/relationships/numbering" Target="numbering.xml"/><Relationship Id="rId17" Type="http://schemas.openxmlformats.org/officeDocument/2006/relationships/styles" Target="styles.xml"/><Relationship Id="rId16" Type="http://schemas.openxmlformats.org/officeDocument/2006/relationships/settings" Target="settings.xml"/><Relationship Id="rId15" Type="http://schemas.openxmlformats.org/officeDocument/2006/relationships/webSettings" Target="webSettings.xml"/><Relationship Id="rId14" Type="http://schemas.openxmlformats.org/officeDocument/2006/relationships/fontTable" Target="fontTable.xml"/><Relationship Id="rId13" Type="http://schemas.openxmlformats.org/officeDocument/2006/relationships/theme" Target="theme/theme1.xml"/><Relationship Id="rId12" Type="http://schemas.openxmlformats.org/officeDocument/2006/relationships/footnotes" Target="footnotes.xml"/><Relationship Id="rId11"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Application>Lawg illustrative example</Application>
</Properties>
</file>

<file path=docProps/core.xml><?xml version="1.0" encoding="utf-8"?>
<cp:coreProperties xmlns:cp="http://schemas.openxmlformats.org/package/2006/metadata/core-properties" xmlns:dc="http://purl.org/dc/elements/1.1/">
  <dc:title>Business Sale CGT Research</dc:title>
  <dc:creator>Lawg illustrative example</dc:creator>
  <dc:description>Illustrative business sale research file note</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wgExampleContentSHA256">
    <vt:lpwstr>b71327b2da778eca99500bd9411444ca0288c0c610b4eb551457f7c4e54e66e1</vt:lpwstr>
  </property>
</Properties>
</file>